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E9" w:rsidRDefault="00112CE9" w:rsidP="00112CE9">
      <w:pPr>
        <w:spacing w:line="36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ORDENANZA N° 79 – HCDPF – 2021</w:t>
      </w:r>
    </w:p>
    <w:p w:rsidR="00112CE9" w:rsidRPr="00112CE9" w:rsidRDefault="00112CE9" w:rsidP="00112CE9">
      <w:pPr>
        <w:spacing w:line="360" w:lineRule="auto"/>
        <w:jc w:val="right"/>
        <w:rPr>
          <w:rFonts w:ascii="Times New Roman" w:hAnsi="Times New Roman" w:cs="Times New Roman"/>
          <w:sz w:val="24"/>
          <w:szCs w:val="24"/>
        </w:rPr>
      </w:pPr>
      <w:r w:rsidRPr="00564C74">
        <w:rPr>
          <w:rFonts w:ascii="Times New Roman" w:hAnsi="Times New Roman" w:cs="Times New Roman"/>
          <w:sz w:val="24"/>
          <w:szCs w:val="24"/>
        </w:rPr>
        <w:t xml:space="preserve">Potrero de los Funes, </w:t>
      </w:r>
      <w:r>
        <w:rPr>
          <w:rFonts w:ascii="Times New Roman" w:hAnsi="Times New Roman" w:cs="Times New Roman"/>
          <w:sz w:val="24"/>
          <w:szCs w:val="24"/>
        </w:rPr>
        <w:t>28</w:t>
      </w:r>
      <w:r w:rsidRPr="00564C74">
        <w:rPr>
          <w:rFonts w:ascii="Times New Roman" w:hAnsi="Times New Roman" w:cs="Times New Roman"/>
          <w:sz w:val="24"/>
          <w:szCs w:val="24"/>
        </w:rPr>
        <w:t xml:space="preserve"> de </w:t>
      </w:r>
      <w:r>
        <w:rPr>
          <w:rFonts w:ascii="Times New Roman" w:hAnsi="Times New Roman" w:cs="Times New Roman"/>
          <w:sz w:val="24"/>
          <w:szCs w:val="24"/>
        </w:rPr>
        <w:t>abril de 2021</w:t>
      </w:r>
    </w:p>
    <w:p w:rsidR="00112CE9" w:rsidRPr="00112CE9" w:rsidRDefault="00112CE9" w:rsidP="00112CE9">
      <w:pPr>
        <w:jc w:val="center"/>
        <w:rPr>
          <w:rFonts w:ascii="Arial" w:eastAsia="Times New Roman" w:hAnsi="Arial" w:cs="Arial"/>
          <w:b/>
          <w:bCs/>
          <w:iCs/>
          <w:szCs w:val="24"/>
          <w:lang w:eastAsia="es-ES"/>
        </w:rPr>
      </w:pPr>
    </w:p>
    <w:p w:rsidR="00112CE9" w:rsidRPr="00112CE9" w:rsidRDefault="00112CE9" w:rsidP="00112CE9">
      <w:pPr>
        <w:jc w:val="both"/>
        <w:rPr>
          <w:rFonts w:ascii="Arial" w:eastAsia="Times New Roman" w:hAnsi="Arial" w:cs="Arial"/>
          <w:b/>
          <w:bCs/>
          <w:iCs/>
          <w:szCs w:val="24"/>
          <w:lang w:eastAsia="es-ES"/>
        </w:rPr>
      </w:pPr>
    </w:p>
    <w:p w:rsidR="00112CE9" w:rsidRPr="00112CE9" w:rsidRDefault="00112CE9" w:rsidP="00112CE9">
      <w:pPr>
        <w:jc w:val="both"/>
        <w:rPr>
          <w:rFonts w:ascii="Arial" w:eastAsia="Times New Roman" w:hAnsi="Arial" w:cs="Arial"/>
          <w:b/>
          <w:bCs/>
          <w:iCs/>
          <w:szCs w:val="24"/>
          <w:lang w:eastAsia="es-ES"/>
        </w:rPr>
      </w:pPr>
      <w:r w:rsidRPr="00112CE9">
        <w:rPr>
          <w:rFonts w:ascii="Arial" w:eastAsia="Times New Roman" w:hAnsi="Arial" w:cs="Arial"/>
          <w:b/>
          <w:bCs/>
          <w:iCs/>
          <w:szCs w:val="24"/>
          <w:lang w:eastAsia="es-ES"/>
        </w:rPr>
        <w:t>VISTO:</w:t>
      </w:r>
    </w:p>
    <w:p w:rsidR="00112CE9" w:rsidRDefault="00112CE9" w:rsidP="00112CE9">
      <w:pPr>
        <w:spacing w:line="360" w:lineRule="auto"/>
        <w:ind w:firstLine="1985"/>
        <w:jc w:val="both"/>
        <w:rPr>
          <w:rFonts w:ascii="Arial" w:eastAsia="Times New Roman" w:hAnsi="Arial" w:cs="Arial"/>
          <w:bCs/>
          <w:iCs/>
          <w:szCs w:val="24"/>
          <w:lang w:eastAsia="es-ES"/>
        </w:rPr>
      </w:pPr>
      <w:r w:rsidRPr="00112CE9">
        <w:rPr>
          <w:rFonts w:ascii="Arial" w:eastAsia="Times New Roman" w:hAnsi="Arial" w:cs="Arial"/>
          <w:bCs/>
          <w:iCs/>
          <w:szCs w:val="24"/>
          <w:lang w:eastAsia="es-ES"/>
        </w:rPr>
        <w:t>La Ordenanza N°71 HCDPF - 2019 y el Anexo 1 modificado que establece la remuneración Básica y el Adicional Remunerativo para las distintas categorías del escalafón de la Municipalidad de Potrero de los Funes; y</w:t>
      </w:r>
    </w:p>
    <w:p w:rsidR="00112CE9" w:rsidRPr="00112CE9" w:rsidRDefault="00112CE9" w:rsidP="00112CE9">
      <w:pPr>
        <w:spacing w:line="360" w:lineRule="auto"/>
        <w:ind w:firstLine="1985"/>
        <w:jc w:val="both"/>
        <w:rPr>
          <w:rFonts w:ascii="Arial" w:eastAsia="Times New Roman" w:hAnsi="Arial" w:cs="Arial"/>
          <w:bCs/>
          <w:iCs/>
          <w:szCs w:val="24"/>
          <w:lang w:eastAsia="es-ES"/>
        </w:rPr>
      </w:pPr>
    </w:p>
    <w:p w:rsidR="00112CE9" w:rsidRPr="00112CE9" w:rsidRDefault="00112CE9" w:rsidP="00112CE9">
      <w:pPr>
        <w:spacing w:line="360" w:lineRule="auto"/>
        <w:jc w:val="both"/>
        <w:rPr>
          <w:rFonts w:ascii="Arial" w:eastAsia="Times New Roman" w:hAnsi="Arial" w:cs="Arial"/>
          <w:b/>
          <w:bCs/>
          <w:iCs/>
          <w:szCs w:val="24"/>
          <w:lang w:eastAsia="es-ES"/>
        </w:rPr>
      </w:pPr>
      <w:r w:rsidRPr="00112CE9">
        <w:rPr>
          <w:rFonts w:ascii="Arial" w:eastAsia="Times New Roman" w:hAnsi="Arial" w:cs="Arial"/>
          <w:b/>
          <w:bCs/>
          <w:iCs/>
          <w:szCs w:val="24"/>
          <w:lang w:eastAsia="es-ES"/>
        </w:rPr>
        <w:t>CONSIDERANDO:</w:t>
      </w:r>
    </w:p>
    <w:p w:rsidR="00112CE9" w:rsidRPr="00112CE9" w:rsidRDefault="00112CE9" w:rsidP="00112CE9">
      <w:pPr>
        <w:spacing w:line="360" w:lineRule="auto"/>
        <w:ind w:firstLine="1985"/>
        <w:jc w:val="both"/>
        <w:rPr>
          <w:rFonts w:ascii="Arial" w:eastAsia="Times New Roman" w:hAnsi="Arial" w:cs="Arial"/>
          <w:bCs/>
          <w:iCs/>
          <w:szCs w:val="24"/>
          <w:lang w:eastAsia="es-ES"/>
        </w:rPr>
      </w:pPr>
      <w:r w:rsidRPr="00112CE9">
        <w:rPr>
          <w:rFonts w:ascii="Arial" w:eastAsia="Times New Roman" w:hAnsi="Arial" w:cs="Arial"/>
          <w:bCs/>
          <w:iCs/>
          <w:szCs w:val="24"/>
          <w:lang w:eastAsia="es-ES"/>
        </w:rPr>
        <w:t>Que la difícil situación que venimos atravesando producto de la pandemia ocasionada por el COVID-19  trae aparejada importantes desafíos a nivel no solo económico sino también social;</w:t>
      </w:r>
    </w:p>
    <w:p w:rsidR="00112CE9" w:rsidRPr="00112CE9" w:rsidRDefault="00112CE9" w:rsidP="00112CE9">
      <w:pPr>
        <w:spacing w:line="360" w:lineRule="auto"/>
        <w:ind w:firstLine="1985"/>
        <w:jc w:val="both"/>
        <w:rPr>
          <w:rFonts w:ascii="Arial" w:eastAsia="Times New Roman" w:hAnsi="Arial" w:cs="Arial"/>
          <w:bCs/>
          <w:iCs/>
          <w:szCs w:val="24"/>
          <w:lang w:eastAsia="es-ES"/>
        </w:rPr>
      </w:pPr>
      <w:r w:rsidRPr="00112CE9">
        <w:rPr>
          <w:rFonts w:ascii="Arial" w:eastAsia="Times New Roman" w:hAnsi="Arial" w:cs="Arial"/>
          <w:bCs/>
          <w:iCs/>
          <w:szCs w:val="24"/>
          <w:lang w:eastAsia="es-ES"/>
        </w:rPr>
        <w:t xml:space="preserve">Que las consecuencias de la pandemia impactan fuertemente en la actividad económica y por consiguiente en los ingresos del Municipio, pero también a todos los agentes municipales que se ven afectados por la inflación y la constante pérdida del poder adquisitivo de la moneda; </w:t>
      </w:r>
    </w:p>
    <w:p w:rsidR="00112CE9" w:rsidRPr="00112CE9" w:rsidRDefault="00112CE9" w:rsidP="00112CE9">
      <w:pPr>
        <w:spacing w:line="360" w:lineRule="auto"/>
        <w:ind w:firstLine="1985"/>
        <w:jc w:val="both"/>
        <w:rPr>
          <w:rFonts w:ascii="Arial" w:eastAsia="Times New Roman" w:hAnsi="Arial" w:cs="Arial"/>
          <w:bCs/>
          <w:iCs/>
          <w:szCs w:val="24"/>
          <w:lang w:eastAsia="es-ES"/>
        </w:rPr>
      </w:pPr>
      <w:r w:rsidRPr="00112CE9">
        <w:rPr>
          <w:rFonts w:ascii="Arial" w:eastAsia="Times New Roman" w:hAnsi="Arial" w:cs="Arial"/>
          <w:bCs/>
          <w:iCs/>
          <w:szCs w:val="24"/>
          <w:lang w:eastAsia="es-ES"/>
        </w:rPr>
        <w:t>Que la realidad económica referida hace necesario disponer acciones ágiles que den respuesta en tiempo y forma en salvaguarda de los derechos fundamentales, el interés público y el interés de los empleados dependientes de esta Administración;</w:t>
      </w:r>
    </w:p>
    <w:p w:rsidR="00112CE9" w:rsidRPr="00112CE9" w:rsidRDefault="00112CE9" w:rsidP="00112CE9">
      <w:pPr>
        <w:spacing w:line="360" w:lineRule="auto"/>
        <w:ind w:firstLine="1985"/>
        <w:jc w:val="both"/>
        <w:rPr>
          <w:rFonts w:ascii="Arial" w:eastAsia="Times New Roman" w:hAnsi="Arial" w:cs="Arial"/>
          <w:bCs/>
          <w:iCs/>
          <w:szCs w:val="24"/>
          <w:lang w:eastAsia="es-ES"/>
        </w:rPr>
      </w:pPr>
      <w:r w:rsidRPr="00112CE9">
        <w:rPr>
          <w:rFonts w:ascii="Arial" w:eastAsia="Times New Roman" w:hAnsi="Arial" w:cs="Arial"/>
          <w:bCs/>
          <w:iCs/>
          <w:szCs w:val="24"/>
          <w:lang w:eastAsia="es-ES"/>
        </w:rPr>
        <w:t xml:space="preserve">Que con el objetivo de satisfacer el interés de todos los empleados municipales, y a fin de mantener el salario real de los trabajadores, la Municipalidad de Potrero de los Funes ha resuelto un incremento del TREINTA Y CINCO POR CIENTO (35%) del salario de los agentes municipales; </w:t>
      </w:r>
    </w:p>
    <w:p w:rsidR="00112CE9" w:rsidRPr="00112CE9" w:rsidRDefault="00112CE9" w:rsidP="00112CE9">
      <w:pPr>
        <w:spacing w:line="360" w:lineRule="auto"/>
        <w:ind w:firstLine="1985"/>
        <w:jc w:val="both"/>
        <w:rPr>
          <w:rFonts w:ascii="Arial" w:eastAsia="Times New Roman" w:hAnsi="Arial" w:cs="Arial"/>
          <w:bCs/>
          <w:iCs/>
          <w:szCs w:val="24"/>
          <w:lang w:eastAsia="es-ES"/>
        </w:rPr>
      </w:pPr>
      <w:r w:rsidRPr="00112CE9">
        <w:rPr>
          <w:rFonts w:ascii="Arial" w:eastAsia="Times New Roman" w:hAnsi="Arial" w:cs="Arial"/>
          <w:bCs/>
          <w:iCs/>
          <w:szCs w:val="24"/>
          <w:lang w:eastAsia="es-ES"/>
        </w:rPr>
        <w:t>Que se puede concretar un aumento a las categorías del escalafón municipal sin comprometer los recursos que percibe este Municipio</w:t>
      </w:r>
      <w:r>
        <w:rPr>
          <w:rFonts w:ascii="Arial" w:eastAsia="Times New Roman" w:hAnsi="Arial" w:cs="Arial"/>
          <w:bCs/>
          <w:iCs/>
          <w:szCs w:val="24"/>
          <w:lang w:eastAsia="es-ES"/>
        </w:rPr>
        <w:t>;</w:t>
      </w:r>
    </w:p>
    <w:p w:rsidR="00112CE9" w:rsidRPr="00112CE9" w:rsidRDefault="00112CE9" w:rsidP="00112CE9">
      <w:pPr>
        <w:spacing w:line="360" w:lineRule="auto"/>
        <w:ind w:firstLine="1985"/>
        <w:jc w:val="both"/>
        <w:rPr>
          <w:rFonts w:ascii="Arial" w:eastAsia="Times New Roman" w:hAnsi="Arial" w:cs="Arial"/>
          <w:bCs/>
          <w:iCs/>
          <w:szCs w:val="24"/>
          <w:lang w:eastAsia="es-ES"/>
        </w:rPr>
      </w:pPr>
      <w:r w:rsidRPr="00112CE9">
        <w:rPr>
          <w:rFonts w:ascii="Arial" w:eastAsia="Times New Roman" w:hAnsi="Arial" w:cs="Arial"/>
          <w:bCs/>
          <w:iCs/>
          <w:szCs w:val="24"/>
          <w:lang w:eastAsia="es-ES"/>
        </w:rPr>
        <w:t>Que por lo expuesto es necesario dictar el presente acto administrativo fundado en razones de necesidad y urgen</w:t>
      </w:r>
      <w:r>
        <w:rPr>
          <w:rFonts w:ascii="Arial" w:eastAsia="Times New Roman" w:hAnsi="Arial" w:cs="Arial"/>
          <w:bCs/>
          <w:iCs/>
          <w:szCs w:val="24"/>
          <w:lang w:eastAsia="es-ES"/>
        </w:rPr>
        <w:t>cia;</w:t>
      </w:r>
    </w:p>
    <w:p w:rsidR="00112CE9" w:rsidRDefault="00112CE9" w:rsidP="00112CE9">
      <w:pPr>
        <w:spacing w:after="200" w:line="360" w:lineRule="auto"/>
        <w:ind w:firstLine="1417"/>
        <w:jc w:val="both"/>
        <w:outlineLvl w:val="0"/>
        <w:rPr>
          <w:rFonts w:ascii="Arial" w:hAnsi="Arial" w:cs="Arial"/>
          <w:bCs/>
          <w:iCs/>
          <w:lang w:val="es-AR"/>
        </w:rPr>
      </w:pPr>
    </w:p>
    <w:p w:rsidR="00B27900" w:rsidRDefault="00B27900" w:rsidP="00112CE9">
      <w:pPr>
        <w:spacing w:after="200" w:line="360" w:lineRule="auto"/>
        <w:ind w:firstLine="1417"/>
        <w:jc w:val="both"/>
        <w:outlineLvl w:val="0"/>
        <w:rPr>
          <w:rFonts w:ascii="Arial" w:hAnsi="Arial" w:cs="Arial"/>
          <w:bCs/>
          <w:iCs/>
          <w:lang w:val="es-AR"/>
        </w:rPr>
      </w:pPr>
    </w:p>
    <w:p w:rsidR="00B27900" w:rsidRPr="00C94FA2" w:rsidRDefault="00B27900" w:rsidP="00112CE9">
      <w:pPr>
        <w:spacing w:after="200" w:line="360" w:lineRule="auto"/>
        <w:ind w:firstLine="1417"/>
        <w:jc w:val="both"/>
        <w:outlineLvl w:val="0"/>
        <w:rPr>
          <w:rFonts w:ascii="Arial" w:hAnsi="Arial" w:cs="Arial"/>
          <w:bCs/>
          <w:iCs/>
          <w:lang w:val="es-AR"/>
        </w:rPr>
      </w:pPr>
      <w:bookmarkStart w:id="0" w:name="_GoBack"/>
      <w:bookmarkEnd w:id="0"/>
    </w:p>
    <w:p w:rsidR="00112CE9" w:rsidRPr="00C94FA2" w:rsidRDefault="00112CE9" w:rsidP="00112CE9">
      <w:pPr>
        <w:spacing w:after="200" w:line="276" w:lineRule="auto"/>
        <w:jc w:val="center"/>
        <w:rPr>
          <w:rFonts w:ascii="Arial" w:hAnsi="Arial" w:cs="Arial"/>
          <w:b/>
          <w:bCs/>
          <w:iCs/>
        </w:rPr>
      </w:pPr>
      <w:r w:rsidRPr="00C94FA2">
        <w:rPr>
          <w:rFonts w:ascii="Arial" w:hAnsi="Arial" w:cs="Arial"/>
          <w:b/>
          <w:bCs/>
          <w:iCs/>
        </w:rPr>
        <w:lastRenderedPageBreak/>
        <w:t>POR ELLO</w:t>
      </w:r>
      <w:r>
        <w:rPr>
          <w:rFonts w:ascii="Arial" w:hAnsi="Arial" w:cs="Arial"/>
          <w:b/>
          <w:bCs/>
          <w:iCs/>
        </w:rPr>
        <w:t>,</w:t>
      </w:r>
    </w:p>
    <w:p w:rsidR="00112CE9" w:rsidRDefault="00112CE9" w:rsidP="00112CE9">
      <w:pPr>
        <w:spacing w:after="200" w:line="276" w:lineRule="auto"/>
        <w:jc w:val="center"/>
        <w:rPr>
          <w:rFonts w:ascii="Arial" w:hAnsi="Arial" w:cs="Arial"/>
          <w:b/>
          <w:bCs/>
          <w:iCs/>
        </w:rPr>
      </w:pPr>
      <w:r w:rsidRPr="00C94FA2">
        <w:rPr>
          <w:rFonts w:ascii="Arial" w:hAnsi="Arial" w:cs="Arial"/>
          <w:b/>
          <w:bCs/>
          <w:iCs/>
        </w:rPr>
        <w:t>EL HONORABLE CONCEJO DELIBERANTE</w:t>
      </w:r>
      <w:r>
        <w:rPr>
          <w:rFonts w:ascii="Arial" w:hAnsi="Arial" w:cs="Arial"/>
          <w:b/>
          <w:bCs/>
          <w:iCs/>
        </w:rPr>
        <w:t xml:space="preserve"> DE POTRERO DE LOS FUNES, SANCIONA CON FUERZA DE </w:t>
      </w:r>
    </w:p>
    <w:p w:rsidR="00112CE9" w:rsidRDefault="00112CE9" w:rsidP="00112CE9">
      <w:pPr>
        <w:spacing w:after="200" w:line="276" w:lineRule="auto"/>
        <w:jc w:val="center"/>
        <w:rPr>
          <w:rFonts w:ascii="Arial" w:hAnsi="Arial" w:cs="Arial"/>
          <w:b/>
          <w:color w:val="000000"/>
          <w:u w:val="single"/>
        </w:rPr>
      </w:pPr>
      <w:r w:rsidRPr="00112CE9">
        <w:rPr>
          <w:rFonts w:ascii="Arial" w:hAnsi="Arial" w:cs="Arial"/>
          <w:b/>
          <w:color w:val="000000"/>
          <w:u w:val="single"/>
        </w:rPr>
        <w:t>ORDENANZA:</w:t>
      </w:r>
    </w:p>
    <w:p w:rsidR="00112CE9" w:rsidRPr="00112CE9" w:rsidRDefault="00112CE9" w:rsidP="00112CE9">
      <w:pPr>
        <w:spacing w:after="200" w:line="276" w:lineRule="auto"/>
        <w:jc w:val="center"/>
        <w:rPr>
          <w:rFonts w:ascii="Arial" w:hAnsi="Arial" w:cs="Arial"/>
          <w:b/>
          <w:bCs/>
          <w:iCs/>
        </w:rPr>
      </w:pPr>
    </w:p>
    <w:p w:rsidR="00112CE9" w:rsidRPr="00112CE9" w:rsidRDefault="00112CE9" w:rsidP="00112CE9">
      <w:pPr>
        <w:spacing w:line="360" w:lineRule="auto"/>
        <w:ind w:left="1560" w:hanging="1560"/>
        <w:jc w:val="both"/>
        <w:rPr>
          <w:rFonts w:ascii="Arial" w:hAnsi="Arial" w:cs="Arial"/>
          <w:color w:val="000000"/>
        </w:rPr>
      </w:pPr>
      <w:r w:rsidRPr="00112CE9">
        <w:rPr>
          <w:rFonts w:ascii="Arial" w:hAnsi="Arial" w:cs="Arial"/>
          <w:color w:val="000000"/>
        </w:rPr>
        <w:t xml:space="preserve">Artículo 1°: </w:t>
      </w:r>
      <w:r w:rsidRPr="00112CE9">
        <w:rPr>
          <w:rFonts w:ascii="Arial" w:hAnsi="Arial" w:cs="Arial"/>
          <w:color w:val="000000"/>
        </w:rPr>
        <w:tab/>
        <w:t>Otorgar un incremento del TREINTA Y CINCO POR CIENTO (35%) sobre la Remuneración Básica de las categorías del escalafón municipal establecido en el Anexo 1modificado de la Ordenanza N°71, con excepción de aquellos para los que expresamente se establezca en forma especial en el presente Decreto, el que se hará efectivo en forma progresiva, siendo de un DIEZ POR CIENTO (10%) que se liquidarán con los haberes del mes de abril de 2021, más un DIEZ POR CIENTO (10%) con los haberes de julio de 2021 y más un QUINCE POR CIENTO (15%) con los haberes de setiembre de 2021.-</w:t>
      </w:r>
    </w:p>
    <w:p w:rsidR="00112CE9" w:rsidRPr="00112CE9" w:rsidRDefault="00112CE9" w:rsidP="00112CE9">
      <w:pPr>
        <w:spacing w:line="360" w:lineRule="auto"/>
        <w:ind w:left="1560" w:hanging="1560"/>
        <w:jc w:val="both"/>
        <w:rPr>
          <w:rFonts w:ascii="Arial" w:hAnsi="Arial" w:cs="Arial"/>
          <w:color w:val="000000"/>
        </w:rPr>
      </w:pPr>
      <w:r w:rsidRPr="00112CE9">
        <w:rPr>
          <w:rFonts w:ascii="Arial" w:hAnsi="Arial" w:cs="Arial"/>
          <w:color w:val="000000"/>
        </w:rPr>
        <w:t>Artículo 2°: Conceder a los beneficiarios de Prácticas Laborales un incremento de DIEZ POR CIENTO (10%) que se liquidarán a partir del 1 del mes de abril de 2021, más un DIEZ POR CIENTO (10%) a partir del 1 de  julio de 2021 y más un QUINCE POR CIENTO (15%) a partir del 1 de septiembre de 2021.-</w:t>
      </w:r>
    </w:p>
    <w:p w:rsidR="00112CE9" w:rsidRPr="00112CE9" w:rsidRDefault="00112CE9" w:rsidP="00112CE9">
      <w:pPr>
        <w:spacing w:line="360" w:lineRule="auto"/>
        <w:ind w:left="1560" w:hanging="1560"/>
        <w:jc w:val="both"/>
        <w:rPr>
          <w:rFonts w:ascii="Arial" w:hAnsi="Arial" w:cs="Arial"/>
          <w:color w:val="000000"/>
        </w:rPr>
      </w:pPr>
      <w:r w:rsidRPr="00112CE9">
        <w:rPr>
          <w:rFonts w:ascii="Arial" w:hAnsi="Arial" w:cs="Arial"/>
          <w:color w:val="000000"/>
        </w:rPr>
        <w:t>Artículo 3°: Facultar a la Secretaria de Hacienda y Fortalecimiento a realizar las adecuaciones presupuestarias que sean necesarias a los fines del cumplimiento la presente Ordenanza.</w:t>
      </w:r>
    </w:p>
    <w:p w:rsidR="00112CE9" w:rsidRPr="00112CE9" w:rsidRDefault="00112CE9" w:rsidP="00112CE9">
      <w:pPr>
        <w:spacing w:line="360" w:lineRule="auto"/>
        <w:ind w:left="1560" w:hanging="1560"/>
        <w:jc w:val="both"/>
        <w:rPr>
          <w:rFonts w:ascii="Arial" w:hAnsi="Arial" w:cs="Arial"/>
          <w:color w:val="000000"/>
        </w:rPr>
      </w:pPr>
      <w:r w:rsidRPr="00112CE9">
        <w:rPr>
          <w:rFonts w:ascii="Arial" w:hAnsi="Arial" w:cs="Arial"/>
          <w:color w:val="000000"/>
        </w:rPr>
        <w:t>Artículo 4°: Regístrese, Comuníquese, Publíquese y archívese.-</w:t>
      </w:r>
    </w:p>
    <w:p w:rsidR="00112CE9" w:rsidRDefault="00112CE9" w:rsidP="00112CE9">
      <w:pPr>
        <w:spacing w:line="360" w:lineRule="auto"/>
        <w:ind w:left="1560" w:hanging="1560"/>
        <w:jc w:val="both"/>
        <w:rPr>
          <w:rFonts w:ascii="Arial" w:hAnsi="Arial" w:cs="Arial"/>
          <w:color w:val="000000"/>
        </w:rPr>
      </w:pPr>
    </w:p>
    <w:p w:rsidR="00112CE9" w:rsidRDefault="00112CE9" w:rsidP="00112CE9">
      <w:pPr>
        <w:spacing w:line="360" w:lineRule="auto"/>
        <w:jc w:val="center"/>
      </w:pPr>
    </w:p>
    <w:p w:rsidR="00112CE9" w:rsidRDefault="00112CE9" w:rsidP="00112CE9">
      <w:pPr>
        <w:spacing w:line="360" w:lineRule="auto"/>
        <w:jc w:val="center"/>
      </w:pPr>
    </w:p>
    <w:p w:rsidR="00112CE9" w:rsidRDefault="00112CE9" w:rsidP="00112CE9">
      <w:pPr>
        <w:spacing w:line="360" w:lineRule="auto"/>
        <w:jc w:val="center"/>
      </w:pPr>
    </w:p>
    <w:p w:rsidR="00112CE9" w:rsidRDefault="00112CE9" w:rsidP="00112CE9">
      <w:pPr>
        <w:spacing w:line="360" w:lineRule="auto"/>
        <w:jc w:val="center"/>
      </w:pPr>
    </w:p>
    <w:p w:rsidR="00112CE9" w:rsidRDefault="00112CE9" w:rsidP="00112CE9">
      <w:pPr>
        <w:spacing w:line="360" w:lineRule="auto"/>
        <w:jc w:val="center"/>
      </w:pPr>
    </w:p>
    <w:p w:rsidR="00112CE9" w:rsidRDefault="00112CE9" w:rsidP="00112CE9">
      <w:pPr>
        <w:spacing w:line="360" w:lineRule="auto"/>
        <w:jc w:val="center"/>
      </w:pPr>
    </w:p>
    <w:p w:rsidR="00BD2AB0" w:rsidRDefault="00BD2AB0"/>
    <w:sectPr w:rsidR="00BD2AB0" w:rsidSect="00B27900">
      <w:headerReference w:type="default" r:id="rId6"/>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219" w:rsidRDefault="00F47219" w:rsidP="00112CE9">
      <w:pPr>
        <w:spacing w:after="0" w:line="240" w:lineRule="auto"/>
      </w:pPr>
      <w:r>
        <w:separator/>
      </w:r>
    </w:p>
  </w:endnote>
  <w:endnote w:type="continuationSeparator" w:id="1">
    <w:p w:rsidR="00F47219" w:rsidRDefault="00F47219" w:rsidP="00112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219" w:rsidRDefault="00F47219" w:rsidP="00112CE9">
      <w:pPr>
        <w:spacing w:after="0" w:line="240" w:lineRule="auto"/>
      </w:pPr>
      <w:r>
        <w:separator/>
      </w:r>
    </w:p>
  </w:footnote>
  <w:footnote w:type="continuationSeparator" w:id="1">
    <w:p w:rsidR="00F47219" w:rsidRDefault="00F47219" w:rsidP="00112C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E9" w:rsidRDefault="00112CE9" w:rsidP="00112CE9">
    <w:pPr>
      <w:pStyle w:val="NormalWeb"/>
      <w:spacing w:before="0" w:beforeAutospacing="0" w:after="0" w:afterAutospacing="0" w:line="276" w:lineRule="auto"/>
      <w:jc w:val="center"/>
    </w:pPr>
    <w:r>
      <w:rPr>
        <w:b/>
        <w:bCs/>
        <w:noProof/>
        <w:color w:val="000000"/>
        <w:bdr w:val="none" w:sz="0" w:space="0" w:color="auto" w:frame="1"/>
      </w:rPr>
      <w:drawing>
        <wp:inline distT="0" distB="0" distL="0" distR="0">
          <wp:extent cx="1609725" cy="1543050"/>
          <wp:effectExtent l="0" t="0" r="9525" b="0"/>
          <wp:docPr id="1" name="Imagen 1" descr="https://lh5.googleusercontent.com/MLcEDhkSfMsdt8ISd0D1lwSFLuzFjisOdp5dsCmmkA-Zvvtys8BOH8PHwEmDNLcxgco92jNMrkl-u9IE-rCgkQKIFE4tt66wMgwZitBeHKS1E1LUIXqPf5eDhZMv4onlI5y19igNpZx_QAWB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MLcEDhkSfMsdt8ISd0D1lwSFLuzFjisOdp5dsCmmkA-Zvvtys8BOH8PHwEmDNLcxgco92jNMrkl-u9IE-rCgkQKIFE4tt66wMgwZitBeHKS1E1LUIXqPf5eDhZMv4onlI5y19igNpZx_QAWBM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543050"/>
                  </a:xfrm>
                  <a:prstGeom prst="rect">
                    <a:avLst/>
                  </a:prstGeom>
                  <a:noFill/>
                  <a:ln>
                    <a:noFill/>
                  </a:ln>
                </pic:spPr>
              </pic:pic>
            </a:graphicData>
          </a:graphic>
        </wp:inline>
      </w:drawing>
    </w:r>
  </w:p>
  <w:p w:rsidR="00112CE9" w:rsidRDefault="00112CE9" w:rsidP="00112CE9">
    <w:pPr>
      <w:pStyle w:val="NormalWeb"/>
      <w:spacing w:before="0" w:beforeAutospacing="0" w:after="0" w:afterAutospacing="0" w:line="276" w:lineRule="auto"/>
      <w:jc w:val="center"/>
    </w:pPr>
    <w:r>
      <w:rPr>
        <w:b/>
        <w:bCs/>
        <w:color w:val="000000"/>
      </w:rPr>
      <w:t>HONORABLE CONCEJO DELIBERANTE</w:t>
    </w:r>
  </w:p>
  <w:p w:rsidR="00112CE9" w:rsidRDefault="00112CE9" w:rsidP="00112CE9">
    <w:pPr>
      <w:pStyle w:val="NormalWeb"/>
      <w:spacing w:before="0" w:beforeAutospacing="0" w:after="0" w:afterAutospacing="0" w:line="480" w:lineRule="auto"/>
      <w:jc w:val="center"/>
    </w:pPr>
    <w:r>
      <w:rPr>
        <w:b/>
        <w:bCs/>
        <w:color w:val="000000"/>
      </w:rPr>
      <w:t>DE LA CIUDAD DE POTRERO DE LOS FUNES</w:t>
    </w:r>
  </w:p>
  <w:p w:rsidR="00112CE9" w:rsidRDefault="00112CE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12CE9"/>
    <w:rsid w:val="00093784"/>
    <w:rsid w:val="00112CE9"/>
    <w:rsid w:val="003B0518"/>
    <w:rsid w:val="00A85DAB"/>
    <w:rsid w:val="00B27900"/>
    <w:rsid w:val="00BD2AB0"/>
    <w:rsid w:val="00E27B33"/>
    <w:rsid w:val="00F472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CE9"/>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C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2CE9"/>
  </w:style>
  <w:style w:type="paragraph" w:styleId="Piedepgina">
    <w:name w:val="footer"/>
    <w:basedOn w:val="Normal"/>
    <w:link w:val="PiedepginaCar"/>
    <w:uiPriority w:val="99"/>
    <w:unhideWhenUsed/>
    <w:rsid w:val="00112C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CE9"/>
  </w:style>
  <w:style w:type="paragraph" w:styleId="NormalWeb">
    <w:name w:val="Normal (Web)"/>
    <w:basedOn w:val="Normal"/>
    <w:uiPriority w:val="99"/>
    <w:semiHidden/>
    <w:unhideWhenUsed/>
    <w:rsid w:val="00112CE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12C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CE9"/>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C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2CE9"/>
  </w:style>
  <w:style w:type="paragraph" w:styleId="Piedepgina">
    <w:name w:val="footer"/>
    <w:basedOn w:val="Normal"/>
    <w:link w:val="PiedepginaCar"/>
    <w:uiPriority w:val="99"/>
    <w:unhideWhenUsed/>
    <w:rsid w:val="00112C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CE9"/>
  </w:style>
  <w:style w:type="paragraph" w:styleId="NormalWeb">
    <w:name w:val="Normal (Web)"/>
    <w:basedOn w:val="Normal"/>
    <w:uiPriority w:val="99"/>
    <w:semiHidden/>
    <w:unhideWhenUsed/>
    <w:rsid w:val="00112CE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12C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2021-05-19T14:46:00Z</dcterms:created>
  <dcterms:modified xsi:type="dcterms:W3CDTF">2021-05-19T14:46:00Z</dcterms:modified>
</cp:coreProperties>
</file>